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8F3FF7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992B4A">
        <w:rPr>
          <w:rFonts w:asciiTheme="majorHAnsi" w:hAnsiTheme="majorHAnsi"/>
          <w:sz w:val="24"/>
          <w:szCs w:val="24"/>
          <w:lang w:val="sr-Cyrl-BA"/>
        </w:rPr>
        <w:t>32</w:t>
      </w:r>
      <w:r w:rsidR="008F3FF7">
        <w:rPr>
          <w:rFonts w:asciiTheme="majorHAnsi" w:hAnsiTheme="majorHAnsi"/>
          <w:sz w:val="24"/>
          <w:szCs w:val="24"/>
          <w:lang w:val="sr-Cyrl-BA"/>
        </w:rPr>
        <w:t>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F49C9">
        <w:rPr>
          <w:rFonts w:asciiTheme="majorHAnsi" w:hAnsiTheme="majorHAnsi"/>
          <w:sz w:val="24"/>
          <w:szCs w:val="24"/>
          <w:lang w:val="sr-Cyrl-BA"/>
        </w:rPr>
        <w:t>17</w:t>
      </w:r>
      <w:r w:rsidR="007142AE">
        <w:rPr>
          <w:rFonts w:asciiTheme="majorHAnsi" w:hAnsiTheme="majorHAnsi"/>
          <w:sz w:val="24"/>
          <w:szCs w:val="24"/>
          <w:lang w:val="sr-Latn-BA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6F49C9">
        <w:rPr>
          <w:rFonts w:asciiTheme="majorHAnsi" w:hAnsiTheme="majorHAnsi"/>
          <w:sz w:val="24"/>
          <w:szCs w:val="24"/>
          <w:lang w:val="sr-Cyrl-BA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F3FF7">
        <w:rPr>
          <w:rFonts w:asciiTheme="majorHAnsi" w:hAnsiTheme="majorHAnsi"/>
          <w:b/>
          <w:sz w:val="24"/>
          <w:szCs w:val="24"/>
          <w:lang w:val="sr-Cyrl-BA"/>
        </w:rPr>
        <w:t>348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F3FF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Јована Цвјетковића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F3FF7">
        <w:rPr>
          <w:rFonts w:asciiTheme="majorHAnsi" w:hAnsiTheme="majorHAnsi"/>
          <w:sz w:val="24"/>
          <w:szCs w:val="24"/>
          <w:lang w:val="sr-Cyrl-RS"/>
        </w:rPr>
        <w:t>Јована Цвјетковића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6F49C9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08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8F3FF7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8F3FF7">
        <w:rPr>
          <w:rFonts w:asciiTheme="majorHAnsi" w:hAnsiTheme="majorHAnsi"/>
          <w:b/>
          <w:i/>
          <w:sz w:val="24"/>
          <w:szCs w:val="24"/>
          <w:lang w:val="sr-Cyrl-RS"/>
        </w:rPr>
        <w:t>Савремени медији у настави природе и друштва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3D0C5E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5F5A62"/>
    <w:rsid w:val="0061462A"/>
    <w:rsid w:val="0064075E"/>
    <w:rsid w:val="00644CE6"/>
    <w:rsid w:val="00645D21"/>
    <w:rsid w:val="00653E92"/>
    <w:rsid w:val="006667E6"/>
    <w:rsid w:val="006C392C"/>
    <w:rsid w:val="006C5A20"/>
    <w:rsid w:val="006F49C9"/>
    <w:rsid w:val="006F57A5"/>
    <w:rsid w:val="00705B65"/>
    <w:rsid w:val="007142AE"/>
    <w:rsid w:val="00716513"/>
    <w:rsid w:val="00734D03"/>
    <w:rsid w:val="007531C6"/>
    <w:rsid w:val="00772903"/>
    <w:rsid w:val="007818C9"/>
    <w:rsid w:val="007D0808"/>
    <w:rsid w:val="008062BB"/>
    <w:rsid w:val="00847B61"/>
    <w:rsid w:val="008A0FE4"/>
    <w:rsid w:val="008E0FA1"/>
    <w:rsid w:val="008E4CA5"/>
    <w:rsid w:val="008F3FF7"/>
    <w:rsid w:val="00906A26"/>
    <w:rsid w:val="0094744B"/>
    <w:rsid w:val="00950A4E"/>
    <w:rsid w:val="009566F0"/>
    <w:rsid w:val="00992B4A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26527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2024-06-19T09:55:00Z</cp:lastPrinted>
  <dcterms:created xsi:type="dcterms:W3CDTF">2024-06-19T09:57:00Z</dcterms:created>
  <dcterms:modified xsi:type="dcterms:W3CDTF">2024-06-19T09:58:00Z</dcterms:modified>
</cp:coreProperties>
</file>